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D97A4A"/>
          <w:sz w:val="18"/>
        </w:rPr>
        <w:t>[Firm logo here]</w:t>
      </w:r>
    </w:p>
    <w:p>
      <w:pPr>
        <w:pStyle w:val="Title"/>
      </w:pPr>
      <w:r>
        <w:t>Before money or details change,</w:t>
        <w:br/>
        <w:t>pause and verify.</w:t>
      </w:r>
    </w:p>
    <w:p>
      <w:pPr>
        <w:spacing w:after="200"/>
      </w:pPr>
      <w:r>
        <w:t>Protect settlement funds and trust-account instructions from compromised mailboxes and impersonation.</w:t>
      </w:r>
    </w:p>
    <w:p>
      <w:pPr>
        <w:pStyle w:val="Heading1"/>
      </w:pPr>
      <w:r>
        <w:t>Your conveyancer or lawyer will never...</w:t>
      </w:r>
    </w:p>
    <w:p>
      <w:pPr>
        <w:pStyle w:val="ListBullet"/>
      </w:pPr>
      <w:r>
        <w:t>Email new settlement or trust-account bank details without confirming them by phone.</w:t>
      </w:r>
    </w:p>
    <w:p>
      <w:pPr>
        <w:pStyle w:val="ListBullet"/>
      </w:pPr>
      <w:r>
        <w:t>Pressure you to release settlement funds, a deposit or a trust disbursement urgently from an unexpected message.</w:t>
      </w:r>
    </w:p>
    <w:p>
      <w:pPr>
        <w:pStyle w:val="ListBullet"/>
      </w:pPr>
      <w:r>
        <w:t>Ask you to keep a bank change or payment instruction secret from another person working on your matter.</w:t>
      </w:r>
    </w:p>
    <w:p>
      <w:pPr>
        <w:pStyle w:val="Heading1"/>
      </w:pPr>
      <w:r>
        <w:t>We will always...</w:t>
      </w:r>
    </w:p>
    <w:p>
      <w:pPr>
        <w:pStyle w:val="ListBullet"/>
      </w:pPr>
      <w:r>
        <w:t>Use the mobile number already held on file before acting on changed destination accounts or payment authority.</w:t>
      </w:r>
    </w:p>
    <w:p>
      <w:pPr>
        <w:pStyle w:val="ListBullet"/>
      </w:pPr>
      <w:r>
        <w:t>Send a one-time code to that known mobile before discussing or acting on a sensitive instruction.</w:t>
      </w:r>
    </w:p>
    <w:p>
      <w:pPr>
        <w:pStyle w:val="ListBullet"/>
      </w:pPr>
      <w:r>
        <w:t>Pause settlement or trust money when the code fails or the instruction arrives through a changed channel.</w:t>
      </w:r>
    </w:p>
    <w:p>
      <w:pPr>
        <w:shd w:fill="0B1733"/>
        <w:ind w:left="216" w:right="216"/>
      </w:pPr>
      <w:r>
        <w:rPr>
          <w:b/>
          <w:color w:val="D97A4A"/>
          <w:sz w:val="22"/>
        </w:rPr>
        <w:t>IF SOMETHING FEELS OFF</w:t>
        <w:br/>
      </w:r>
      <w:r>
        <w:rPr>
          <w:color w:val="FBF7EE"/>
          <w:sz w:val="21"/>
        </w:rPr>
        <w:t>Stop. Do not reply or pay. Call us on the number published on our website - not the number in the email, text message or call.</w:t>
      </w:r>
    </w:p>
    <w:p>
      <w:pPr>
        <w:spacing w:before="100"/>
      </w:pPr>
      <w:r>
        <w:rPr>
          <w:i/>
          <w:color w:val="5F6571"/>
          <w:sz w:val="16"/>
        </w:rPr>
        <w:t>Verification by Vericode</w:t>
      </w:r>
    </w:p>
    <w:p>
      <w:pPr>
        <w:spacing w:before="80" w:after="0"/>
      </w:pPr>
      <w:r>
        <w:rPr>
          <w:color w:val="5F6571"/>
          <w:sz w:val="15"/>
        </w:rPr>
        <w:t>General client education only - not legal advice. Adapt this handout to your practice, procedures and engagement terms.</w:t>
      </w:r>
    </w:p>
    <w:sectPr w:rsidR="00FC693F" w:rsidRPr="0006063C" w:rsidSect="00034616"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B17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B17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B17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education one-pager - Conveyancers / legal practices</dc:title>
  <dc:subject/>
  <dc:creator>Vericode</dc:creator>
  <cp:keywords/>
  <dc:description>generated by python-docx</dc:description>
  <cp:lastModifiedBy/>
  <cp:revision>1</cp:revision>
  <dcterms:created xsi:type="dcterms:W3CDTF">2026-07-01T00:00:00Z</dcterms:created>
  <dcterms:modified xsi:type="dcterms:W3CDTF">2026-07-01T00:00:00Z</dcterms:modified>
  <cp:category/>
</cp:coreProperties>
</file>